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A9" w:rsidRPr="008261A9" w:rsidRDefault="008261A9" w:rsidP="008261A9">
      <w:pPr>
        <w:jc w:val="both"/>
        <w:rPr>
          <w:rFonts w:ascii="Arial" w:hAnsi="Arial" w:cs="Arial"/>
          <w:b/>
        </w:rPr>
      </w:pPr>
      <w:r w:rsidRPr="008261A9">
        <w:rPr>
          <w:rFonts w:ascii="Arial" w:hAnsi="Arial" w:cs="Arial"/>
          <w:b/>
        </w:rPr>
        <w:t xml:space="preserve">Época: Décima Época </w:t>
      </w:r>
    </w:p>
    <w:p w:rsidR="008261A9" w:rsidRPr="008261A9" w:rsidRDefault="008261A9" w:rsidP="008261A9">
      <w:pPr>
        <w:jc w:val="both"/>
        <w:rPr>
          <w:rFonts w:ascii="Arial" w:hAnsi="Arial" w:cs="Arial"/>
          <w:b/>
        </w:rPr>
      </w:pPr>
      <w:r w:rsidRPr="008261A9">
        <w:rPr>
          <w:rFonts w:ascii="Arial" w:hAnsi="Arial" w:cs="Arial"/>
          <w:b/>
        </w:rPr>
        <w:t xml:space="preserve">Registro: 2020747 </w:t>
      </w:r>
    </w:p>
    <w:p w:rsidR="008261A9" w:rsidRPr="008261A9" w:rsidRDefault="008261A9" w:rsidP="008261A9">
      <w:pPr>
        <w:jc w:val="both"/>
        <w:rPr>
          <w:rFonts w:ascii="Arial" w:hAnsi="Arial" w:cs="Arial"/>
          <w:b/>
        </w:rPr>
      </w:pPr>
      <w:r w:rsidRPr="008261A9">
        <w:rPr>
          <w:rFonts w:ascii="Arial" w:hAnsi="Arial" w:cs="Arial"/>
          <w:b/>
        </w:rPr>
        <w:t xml:space="preserve">Instancia: Pleno </w:t>
      </w:r>
    </w:p>
    <w:p w:rsidR="008261A9" w:rsidRPr="008261A9" w:rsidRDefault="008261A9" w:rsidP="008261A9">
      <w:pPr>
        <w:jc w:val="both"/>
        <w:rPr>
          <w:rFonts w:ascii="Arial" w:hAnsi="Arial" w:cs="Arial"/>
          <w:b/>
        </w:rPr>
      </w:pPr>
      <w:r w:rsidRPr="008261A9">
        <w:rPr>
          <w:rFonts w:ascii="Arial" w:hAnsi="Arial" w:cs="Arial"/>
          <w:b/>
        </w:rPr>
        <w:t xml:space="preserve">Tipo de Tesis: Jurisprudencia </w:t>
      </w:r>
    </w:p>
    <w:p w:rsidR="008261A9" w:rsidRPr="008261A9" w:rsidRDefault="008261A9" w:rsidP="008261A9">
      <w:pPr>
        <w:jc w:val="both"/>
        <w:rPr>
          <w:rFonts w:ascii="Arial" w:hAnsi="Arial" w:cs="Arial"/>
          <w:b/>
        </w:rPr>
      </w:pPr>
      <w:r w:rsidRPr="008261A9">
        <w:rPr>
          <w:rFonts w:ascii="Arial" w:hAnsi="Arial" w:cs="Arial"/>
          <w:b/>
        </w:rPr>
        <w:t xml:space="preserve">Fuente: Gaceta del Semanario Judicial de la Federación </w:t>
      </w:r>
    </w:p>
    <w:p w:rsidR="008261A9" w:rsidRPr="008261A9" w:rsidRDefault="008261A9" w:rsidP="008261A9">
      <w:pPr>
        <w:jc w:val="both"/>
        <w:rPr>
          <w:rFonts w:ascii="Arial" w:hAnsi="Arial" w:cs="Arial"/>
          <w:b/>
        </w:rPr>
      </w:pPr>
      <w:r w:rsidRPr="008261A9">
        <w:rPr>
          <w:rFonts w:ascii="Arial" w:hAnsi="Arial" w:cs="Arial"/>
          <w:b/>
        </w:rPr>
        <w:t xml:space="preserve">Libro 71, </w:t>
      </w:r>
      <w:proofErr w:type="gramStart"/>
      <w:r w:rsidRPr="008261A9">
        <w:rPr>
          <w:rFonts w:ascii="Arial" w:hAnsi="Arial" w:cs="Arial"/>
          <w:b/>
        </w:rPr>
        <w:t>Octubre</w:t>
      </w:r>
      <w:proofErr w:type="gramEnd"/>
      <w:r w:rsidRPr="008261A9">
        <w:rPr>
          <w:rFonts w:ascii="Arial" w:hAnsi="Arial" w:cs="Arial"/>
          <w:b/>
        </w:rPr>
        <w:t xml:space="preserve"> de 2019, Tomo I </w:t>
      </w:r>
    </w:p>
    <w:p w:rsidR="008261A9" w:rsidRPr="008261A9" w:rsidRDefault="008261A9" w:rsidP="008261A9">
      <w:pPr>
        <w:jc w:val="both"/>
        <w:rPr>
          <w:rFonts w:ascii="Arial" w:hAnsi="Arial" w:cs="Arial"/>
          <w:b/>
        </w:rPr>
      </w:pPr>
      <w:r w:rsidRPr="008261A9">
        <w:rPr>
          <w:rFonts w:ascii="Arial" w:hAnsi="Arial" w:cs="Arial"/>
          <w:b/>
        </w:rPr>
        <w:t xml:space="preserve">Materia(s): Constitucional </w:t>
      </w:r>
    </w:p>
    <w:p w:rsidR="008261A9" w:rsidRPr="008261A9" w:rsidRDefault="008261A9" w:rsidP="008261A9">
      <w:pPr>
        <w:jc w:val="both"/>
        <w:rPr>
          <w:rFonts w:ascii="Arial" w:hAnsi="Arial" w:cs="Arial"/>
          <w:b/>
        </w:rPr>
      </w:pPr>
      <w:r w:rsidRPr="008261A9">
        <w:rPr>
          <w:rFonts w:ascii="Arial" w:hAnsi="Arial" w:cs="Arial"/>
          <w:b/>
        </w:rPr>
        <w:t xml:space="preserve">Tesis: P./J. 11/2019 (10a.) </w:t>
      </w:r>
    </w:p>
    <w:p w:rsidR="008261A9" w:rsidRPr="008261A9" w:rsidRDefault="008261A9" w:rsidP="008261A9">
      <w:pPr>
        <w:jc w:val="both"/>
        <w:rPr>
          <w:rFonts w:ascii="Arial" w:hAnsi="Arial" w:cs="Arial"/>
          <w:b/>
        </w:rPr>
      </w:pPr>
      <w:r w:rsidRPr="008261A9">
        <w:rPr>
          <w:rFonts w:ascii="Arial" w:hAnsi="Arial" w:cs="Arial"/>
          <w:b/>
        </w:rPr>
        <w:t xml:space="preserve">Página: 5 </w:t>
      </w:r>
    </w:p>
    <w:p w:rsidR="008261A9" w:rsidRPr="008261A9" w:rsidRDefault="008261A9" w:rsidP="008261A9">
      <w:pPr>
        <w:jc w:val="both"/>
        <w:rPr>
          <w:rFonts w:ascii="Arial" w:hAnsi="Arial" w:cs="Arial"/>
          <w:b/>
        </w:rPr>
      </w:pPr>
    </w:p>
    <w:p w:rsidR="008261A9" w:rsidRPr="008261A9" w:rsidRDefault="008261A9" w:rsidP="008261A9">
      <w:pPr>
        <w:jc w:val="both"/>
        <w:rPr>
          <w:rFonts w:ascii="Arial" w:hAnsi="Arial" w:cs="Arial"/>
          <w:b/>
        </w:rPr>
      </w:pPr>
      <w:r w:rsidRPr="008261A9">
        <w:rPr>
          <w:rFonts w:ascii="Arial" w:hAnsi="Arial" w:cs="Arial"/>
          <w:b/>
        </w:rPr>
        <w:t xml:space="preserve">PARIDAD DE GÉNERO. EL PRINCIPIO PREVISTO EN EL ARTÍCULO 41, FRACCIÓN I, PÁRRAFO SEGUNDO, DE LA CONSTITUCIÓN FEDERAL, TRASCIENDE A LA INTEGRACIÓN DE LOS ÓRGANOS LEGISLATIVOS DE LAS ENTIDADES FEDERATIVAS. </w:t>
      </w:r>
    </w:p>
    <w:p w:rsidR="008261A9" w:rsidRPr="008261A9" w:rsidRDefault="008261A9" w:rsidP="008261A9">
      <w:pPr>
        <w:jc w:val="both"/>
        <w:rPr>
          <w:rFonts w:ascii="Arial" w:hAnsi="Arial" w:cs="Arial"/>
        </w:rPr>
      </w:pPr>
    </w:p>
    <w:p w:rsidR="008261A9" w:rsidRPr="008261A9" w:rsidRDefault="008261A9" w:rsidP="008261A9">
      <w:pPr>
        <w:jc w:val="both"/>
        <w:rPr>
          <w:rFonts w:ascii="Arial" w:hAnsi="Arial" w:cs="Arial"/>
        </w:rPr>
      </w:pPr>
      <w:r w:rsidRPr="008261A9">
        <w:rPr>
          <w:rFonts w:ascii="Arial" w:hAnsi="Arial" w:cs="Arial"/>
        </w:rPr>
        <w:t>De la interpretación gramatical, teleológica, sistemático-funcional e histórica del artículo 41, fracción I, párrafo segundo, de la Constitución Política de los Estados Unidos Mexicanos, se desprende que el principio de paridad entre los géneros trasciende a la integración de los órganos representativos de las entidades federativas y, por lo tanto, no se agota en el registro o postulación de candidaturas por parte de los partidos políticos antes de la jornada electoral. En esta tesitura, las entidades federativas se encuentran constitucionalmente obligadas a establecer en su normativa local acciones tendientes a la paridad de género para la asignación de diputaciones por el principio de representación proporcional a los partidos políticos con derecho a escaños. Ciertamente pueden existir múltiples variantes en la implementación de tales medidas correctivas en el ámbito local, pues la distribución específica entre legisladores locales de mayoría relativa y representación proporcional forma parte de la libertad configurativa de las entidades federativas. Además, en los procesos electorales locales la paridad de género necesariamente coexiste con otros principios constitucionales que también deben ser respetados (por ejemplo: legalidad, certeza, imparcialidad y objetividad). No obstante, lo cierto es que garantizar –a través de la acción estatal– que mujeres y hombres tengan las mismas posibilidades de acceder a los congresos locales no es optativo para las entidades federativas. Por lo tanto, en sistemas electorales con modalidades de "listas abiertas" de candidaturas –es decir, donde los candidatos de representación proporcional no se definen sino hasta después de la jornada electoral, como sucede con las listas de "mejores perdedores" de mayoría relativa– o de "listas cerradas no bloqueadas" –es decir, donde el orden de prelación de los candidatos de representación proporcional se determina en función de la votación recibida en la elección de mayoría relativa–, la prohibición de reacomodos por razón de paridad de género en las listas definitivas de candidatos con que los partidos políticos finalmente participan en la asignación de escaños es inconstitucional.</w:t>
      </w:r>
    </w:p>
    <w:p w:rsidR="008261A9" w:rsidRPr="008261A9" w:rsidRDefault="008261A9" w:rsidP="008261A9">
      <w:pPr>
        <w:jc w:val="both"/>
        <w:rPr>
          <w:rFonts w:ascii="Arial" w:hAnsi="Arial" w:cs="Arial"/>
        </w:rPr>
      </w:pPr>
    </w:p>
    <w:p w:rsidR="008261A9" w:rsidRPr="008261A9" w:rsidRDefault="008261A9" w:rsidP="008261A9">
      <w:pPr>
        <w:jc w:val="both"/>
        <w:rPr>
          <w:rFonts w:ascii="Arial" w:hAnsi="Arial" w:cs="Arial"/>
          <w:b/>
        </w:rPr>
      </w:pPr>
      <w:r w:rsidRPr="008261A9">
        <w:rPr>
          <w:rFonts w:ascii="Arial" w:hAnsi="Arial" w:cs="Arial"/>
          <w:b/>
        </w:rPr>
        <w:t xml:space="preserve">Contradicción de tesis 275/2015. Entre las sustentadas por el Pleno de la Suprema Corte de Justicia de la Nación y la Sala Superior del Tribunal Electoral del Poder Judicial de la Federación. 4 de junio de 2019. Mayoría de ocho votos de los </w:t>
      </w:r>
      <w:proofErr w:type="gramStart"/>
      <w:r w:rsidRPr="008261A9">
        <w:rPr>
          <w:rFonts w:ascii="Arial" w:hAnsi="Arial" w:cs="Arial"/>
          <w:b/>
        </w:rPr>
        <w:t>Ministros</w:t>
      </w:r>
      <w:proofErr w:type="gramEnd"/>
      <w:r w:rsidRPr="008261A9">
        <w:rPr>
          <w:rFonts w:ascii="Arial" w:hAnsi="Arial" w:cs="Arial"/>
          <w:b/>
        </w:rPr>
        <w:t xml:space="preserve"> Alfredo Gutiérrez Ortiz Mena, Juan Luis González Alcántara Carrancá, Yasmín Esquivel </w:t>
      </w:r>
      <w:proofErr w:type="spellStart"/>
      <w:r w:rsidRPr="008261A9">
        <w:rPr>
          <w:rFonts w:ascii="Arial" w:hAnsi="Arial" w:cs="Arial"/>
          <w:b/>
        </w:rPr>
        <w:t>Mossa</w:t>
      </w:r>
      <w:proofErr w:type="spellEnd"/>
      <w:r w:rsidRPr="008261A9">
        <w:rPr>
          <w:rFonts w:ascii="Arial" w:hAnsi="Arial" w:cs="Arial"/>
          <w:b/>
        </w:rPr>
        <w:t xml:space="preserve">, Luis María Aguilar Morales, Jorge Mario Pardo Rebolledo, Norma Lucía Piña Hernández, Javier Laynez Potisek y Arturo Zaldívar Lelo de Larrea. Votó en contra: Eduardo Medina Mora I. Ausentes: José Fernando Franco González Salas y Alberto Pérez Dayán. Ponente: Javier Laynez Potisek. Secretario: Alfredo Narváez </w:t>
      </w:r>
      <w:proofErr w:type="spellStart"/>
      <w:r w:rsidRPr="008261A9">
        <w:rPr>
          <w:rFonts w:ascii="Arial" w:hAnsi="Arial" w:cs="Arial"/>
          <w:b/>
        </w:rPr>
        <w:t>Medécigo</w:t>
      </w:r>
      <w:proofErr w:type="spellEnd"/>
      <w:r w:rsidRPr="008261A9">
        <w:rPr>
          <w:rFonts w:ascii="Arial" w:hAnsi="Arial" w:cs="Arial"/>
          <w:b/>
        </w:rPr>
        <w:t>.</w:t>
      </w:r>
    </w:p>
    <w:p w:rsidR="008261A9" w:rsidRPr="008261A9" w:rsidRDefault="008261A9" w:rsidP="008261A9">
      <w:pPr>
        <w:jc w:val="both"/>
        <w:rPr>
          <w:rFonts w:ascii="Arial" w:hAnsi="Arial" w:cs="Arial"/>
          <w:b/>
        </w:rPr>
      </w:pPr>
    </w:p>
    <w:p w:rsidR="008261A9" w:rsidRPr="008261A9" w:rsidRDefault="008261A9" w:rsidP="008261A9">
      <w:pPr>
        <w:jc w:val="both"/>
        <w:rPr>
          <w:rFonts w:ascii="Arial" w:hAnsi="Arial" w:cs="Arial"/>
        </w:rPr>
      </w:pPr>
      <w:r w:rsidRPr="008261A9">
        <w:rPr>
          <w:rFonts w:ascii="Arial" w:hAnsi="Arial" w:cs="Arial"/>
        </w:rPr>
        <w:t>Criterios contendientes:</w:t>
      </w:r>
    </w:p>
    <w:p w:rsidR="008261A9" w:rsidRPr="008261A9" w:rsidRDefault="008261A9" w:rsidP="008261A9">
      <w:pPr>
        <w:jc w:val="both"/>
        <w:rPr>
          <w:rFonts w:ascii="Arial" w:hAnsi="Arial" w:cs="Arial"/>
        </w:rPr>
      </w:pPr>
    </w:p>
    <w:p w:rsidR="008261A9" w:rsidRPr="008261A9" w:rsidRDefault="008261A9" w:rsidP="008261A9">
      <w:pPr>
        <w:jc w:val="both"/>
        <w:rPr>
          <w:rFonts w:ascii="Arial" w:hAnsi="Arial" w:cs="Arial"/>
        </w:rPr>
      </w:pPr>
      <w:r w:rsidRPr="008261A9">
        <w:rPr>
          <w:rFonts w:ascii="Arial" w:hAnsi="Arial" w:cs="Arial"/>
        </w:rPr>
        <w:t>El sustentado por la Sala Superior del Tribunal Electoral del Poder Judicial de la Federación, al resolver el juicio para la protección de los derechos político-electorales del ciudadano SUP-JDC-1236/2015 y sus acumulados SUP-JDC-1244/2015, SUP-JDC-1245/2015, SUP-JRC-666/2015, SUP-JRC-667/2015, SUP-JRC-668/2015 y SUP-JRC-669/2015, y el diverso sustentado por el Pleno de la Suprema Corte de Justicia de la Nación, al resolver la acción de inconstitucionalidad 45/2014 y sus acumuladas 46/2014, 66/2014, 67/2014, 68/2014, 69/2014 y 75/2014.</w:t>
      </w:r>
    </w:p>
    <w:p w:rsidR="008261A9" w:rsidRPr="008261A9" w:rsidRDefault="008261A9" w:rsidP="008261A9">
      <w:pPr>
        <w:jc w:val="both"/>
        <w:rPr>
          <w:rFonts w:ascii="Arial" w:hAnsi="Arial" w:cs="Arial"/>
        </w:rPr>
      </w:pPr>
      <w:r w:rsidRPr="008261A9">
        <w:rPr>
          <w:rFonts w:ascii="Arial" w:hAnsi="Arial" w:cs="Arial"/>
        </w:rPr>
        <w:t xml:space="preserve">El Tribunal Pleno, el veinticuatro de septiembre en curso, aprobó, con el número 11/2019 (10a.), la tesis jurisprudencial que antecede. Ciudad de México, a veinticuatro de septiembre de dos mil diecinueve. </w:t>
      </w:r>
    </w:p>
    <w:p w:rsidR="008261A9" w:rsidRPr="008261A9" w:rsidRDefault="008261A9" w:rsidP="008261A9">
      <w:pPr>
        <w:jc w:val="both"/>
        <w:rPr>
          <w:rFonts w:ascii="Arial" w:hAnsi="Arial" w:cs="Arial"/>
        </w:rPr>
      </w:pPr>
      <w:r w:rsidRPr="008261A9">
        <w:rPr>
          <w:rFonts w:ascii="Arial" w:hAnsi="Arial" w:cs="Arial"/>
        </w:rPr>
        <w:t>Nota: La ejecutoria relativa a la acción de inconstitucionalidad 45/2014 y sus acumuladas 46/2014, 66/2014, 67/2014, 68/2014, 69/2014 y 75/2014 aparece publicada en el Semanario Judicial de la Federación del viernes 27 de marzo de 2015 a las 9:30 horas y en la Gaceta del Semanario Judicial de la Federación, Décima Época, Libro 16, Tomo I, marzo de 2015, página 675.</w:t>
      </w:r>
    </w:p>
    <w:p w:rsidR="008261A9" w:rsidRDefault="008261A9" w:rsidP="008261A9">
      <w:pPr>
        <w:jc w:val="both"/>
        <w:rPr>
          <w:rFonts w:ascii="Arial" w:hAnsi="Arial" w:cs="Arial"/>
        </w:rPr>
      </w:pPr>
      <w:r w:rsidRPr="008261A9">
        <w:rPr>
          <w:rFonts w:ascii="Arial" w:hAnsi="Arial" w:cs="Arial"/>
        </w:rPr>
        <w:t>Esta tesis se publicó el viernes 04 de octubre de 2019 a las 10:14 horas en el Semanario Judicial de la Federación y, por ende, se considera de aplicación obligatoria a partir del lunes 07 de octubre de 2019, para los efectos previstos en el punto séptimo del Acuerdo General Plenario 19/2013.</w:t>
      </w:r>
    </w:p>
    <w:p w:rsidR="008261A9" w:rsidRDefault="008261A9">
      <w:pPr>
        <w:rPr>
          <w:rFonts w:ascii="Arial" w:hAnsi="Arial" w:cs="Arial"/>
        </w:rPr>
      </w:pPr>
      <w:r>
        <w:rPr>
          <w:rFonts w:ascii="Arial" w:hAnsi="Arial" w:cs="Arial"/>
        </w:rPr>
        <w:br w:type="page"/>
      </w:r>
    </w:p>
    <w:p w:rsidR="008261A9" w:rsidRPr="008261A9" w:rsidRDefault="008261A9" w:rsidP="008261A9">
      <w:pPr>
        <w:jc w:val="both"/>
        <w:rPr>
          <w:rFonts w:ascii="Arial" w:hAnsi="Arial" w:cs="Arial"/>
          <w:b/>
        </w:rPr>
      </w:pPr>
      <w:r w:rsidRPr="008261A9">
        <w:rPr>
          <w:rFonts w:ascii="Arial" w:hAnsi="Arial" w:cs="Arial"/>
          <w:b/>
        </w:rPr>
        <w:lastRenderedPageBreak/>
        <w:t xml:space="preserve">Época: Décima Época </w:t>
      </w:r>
    </w:p>
    <w:p w:rsidR="008261A9" w:rsidRPr="008261A9" w:rsidRDefault="008261A9" w:rsidP="008261A9">
      <w:pPr>
        <w:jc w:val="both"/>
        <w:rPr>
          <w:rFonts w:ascii="Arial" w:hAnsi="Arial" w:cs="Arial"/>
          <w:b/>
        </w:rPr>
      </w:pPr>
      <w:r w:rsidRPr="008261A9">
        <w:rPr>
          <w:rFonts w:ascii="Arial" w:hAnsi="Arial" w:cs="Arial"/>
          <w:b/>
        </w:rPr>
        <w:t xml:space="preserve">Registro: 2020759 </w:t>
      </w:r>
    </w:p>
    <w:p w:rsidR="008261A9" w:rsidRPr="008261A9" w:rsidRDefault="008261A9" w:rsidP="008261A9">
      <w:pPr>
        <w:jc w:val="both"/>
        <w:rPr>
          <w:rFonts w:ascii="Arial" w:hAnsi="Arial" w:cs="Arial"/>
          <w:b/>
        </w:rPr>
      </w:pPr>
      <w:r w:rsidRPr="008261A9">
        <w:rPr>
          <w:rFonts w:ascii="Arial" w:hAnsi="Arial" w:cs="Arial"/>
          <w:b/>
        </w:rPr>
        <w:t xml:space="preserve">Instancia: Pleno </w:t>
      </w:r>
    </w:p>
    <w:p w:rsidR="008261A9" w:rsidRPr="008261A9" w:rsidRDefault="008261A9" w:rsidP="008261A9">
      <w:pPr>
        <w:jc w:val="both"/>
        <w:rPr>
          <w:rFonts w:ascii="Arial" w:hAnsi="Arial" w:cs="Arial"/>
          <w:b/>
        </w:rPr>
      </w:pPr>
      <w:r w:rsidRPr="008261A9">
        <w:rPr>
          <w:rFonts w:ascii="Arial" w:hAnsi="Arial" w:cs="Arial"/>
          <w:b/>
        </w:rPr>
        <w:t xml:space="preserve">Tipo de Tesis: Jurisprudencia </w:t>
      </w:r>
    </w:p>
    <w:p w:rsidR="008261A9" w:rsidRPr="008261A9" w:rsidRDefault="008261A9" w:rsidP="008261A9">
      <w:pPr>
        <w:jc w:val="both"/>
        <w:rPr>
          <w:rFonts w:ascii="Arial" w:hAnsi="Arial" w:cs="Arial"/>
          <w:b/>
        </w:rPr>
      </w:pPr>
      <w:r w:rsidRPr="008261A9">
        <w:rPr>
          <w:rFonts w:ascii="Arial" w:hAnsi="Arial" w:cs="Arial"/>
          <w:b/>
        </w:rPr>
        <w:t xml:space="preserve">Fuente: Gaceta del Semanario Judicial de la Federación </w:t>
      </w:r>
    </w:p>
    <w:p w:rsidR="008261A9" w:rsidRPr="008261A9" w:rsidRDefault="008261A9" w:rsidP="008261A9">
      <w:pPr>
        <w:jc w:val="both"/>
        <w:rPr>
          <w:rFonts w:ascii="Arial" w:hAnsi="Arial" w:cs="Arial"/>
          <w:b/>
        </w:rPr>
      </w:pPr>
      <w:r w:rsidRPr="008261A9">
        <w:rPr>
          <w:rFonts w:ascii="Arial" w:hAnsi="Arial" w:cs="Arial"/>
          <w:b/>
        </w:rPr>
        <w:t xml:space="preserve">Libro 71, </w:t>
      </w:r>
      <w:proofErr w:type="gramStart"/>
      <w:r w:rsidRPr="008261A9">
        <w:rPr>
          <w:rFonts w:ascii="Arial" w:hAnsi="Arial" w:cs="Arial"/>
          <w:b/>
        </w:rPr>
        <w:t>Octubre</w:t>
      </w:r>
      <w:proofErr w:type="gramEnd"/>
      <w:r w:rsidRPr="008261A9">
        <w:rPr>
          <w:rFonts w:ascii="Arial" w:hAnsi="Arial" w:cs="Arial"/>
          <w:b/>
        </w:rPr>
        <w:t xml:space="preserve"> de 2019, Tomo I </w:t>
      </w:r>
    </w:p>
    <w:p w:rsidR="008261A9" w:rsidRPr="008261A9" w:rsidRDefault="008261A9" w:rsidP="008261A9">
      <w:pPr>
        <w:jc w:val="both"/>
        <w:rPr>
          <w:rFonts w:ascii="Arial" w:hAnsi="Arial" w:cs="Arial"/>
          <w:b/>
        </w:rPr>
      </w:pPr>
      <w:r w:rsidRPr="008261A9">
        <w:rPr>
          <w:rFonts w:ascii="Arial" w:hAnsi="Arial" w:cs="Arial"/>
          <w:b/>
        </w:rPr>
        <w:t xml:space="preserve">Materia(s): Constitucional </w:t>
      </w:r>
    </w:p>
    <w:p w:rsidR="008261A9" w:rsidRPr="008261A9" w:rsidRDefault="008261A9" w:rsidP="008261A9">
      <w:pPr>
        <w:jc w:val="both"/>
        <w:rPr>
          <w:rFonts w:ascii="Arial" w:hAnsi="Arial" w:cs="Arial"/>
          <w:b/>
        </w:rPr>
      </w:pPr>
      <w:r w:rsidRPr="008261A9">
        <w:rPr>
          <w:rFonts w:ascii="Arial" w:hAnsi="Arial" w:cs="Arial"/>
          <w:b/>
        </w:rPr>
        <w:t xml:space="preserve">Tesis: P./J. 12/2019 (10a.) </w:t>
      </w:r>
    </w:p>
    <w:p w:rsidR="008261A9" w:rsidRPr="008261A9" w:rsidRDefault="008261A9" w:rsidP="008261A9">
      <w:pPr>
        <w:jc w:val="both"/>
        <w:rPr>
          <w:rFonts w:ascii="Arial" w:hAnsi="Arial" w:cs="Arial"/>
          <w:b/>
        </w:rPr>
      </w:pPr>
      <w:r w:rsidRPr="008261A9">
        <w:rPr>
          <w:rFonts w:ascii="Arial" w:hAnsi="Arial" w:cs="Arial"/>
          <w:b/>
        </w:rPr>
        <w:t xml:space="preserve">Página: 6 </w:t>
      </w:r>
    </w:p>
    <w:p w:rsidR="008261A9" w:rsidRPr="008261A9" w:rsidRDefault="008261A9" w:rsidP="008261A9">
      <w:pPr>
        <w:jc w:val="both"/>
        <w:rPr>
          <w:rFonts w:ascii="Arial" w:hAnsi="Arial" w:cs="Arial"/>
          <w:b/>
        </w:rPr>
      </w:pPr>
    </w:p>
    <w:p w:rsidR="008261A9" w:rsidRPr="008261A9" w:rsidRDefault="008261A9" w:rsidP="008261A9">
      <w:pPr>
        <w:jc w:val="both"/>
        <w:rPr>
          <w:rFonts w:ascii="Arial" w:hAnsi="Arial" w:cs="Arial"/>
          <w:b/>
        </w:rPr>
      </w:pPr>
      <w:r w:rsidRPr="008261A9">
        <w:rPr>
          <w:rFonts w:ascii="Arial" w:hAnsi="Arial" w:cs="Arial"/>
          <w:b/>
        </w:rPr>
        <w:t xml:space="preserve">REPRESENTACIÓN PROPORCIONAL. LAS ACCIONES PARA FAVORECER LA INTEGRACIÓN PARITARIA DE UN CONGRESO LOCAL QUE REAJUSTEN LAS LISTAS DE CANDIDATOS DE LOS PARTIDOS POLÍTICOS CON DERECHO A ESCAÑOS POR ESE PRINCIPIO, NO VULNERAN EL DERECHO FUNDAMENTAL A VOTAR. </w:t>
      </w:r>
    </w:p>
    <w:p w:rsidR="008261A9" w:rsidRPr="008261A9" w:rsidRDefault="008261A9" w:rsidP="008261A9">
      <w:pPr>
        <w:jc w:val="both"/>
        <w:rPr>
          <w:rFonts w:ascii="Arial" w:hAnsi="Arial" w:cs="Arial"/>
        </w:rPr>
      </w:pPr>
    </w:p>
    <w:p w:rsidR="008261A9" w:rsidRPr="008261A9" w:rsidRDefault="008261A9" w:rsidP="008261A9">
      <w:pPr>
        <w:jc w:val="both"/>
        <w:rPr>
          <w:rFonts w:ascii="Arial" w:hAnsi="Arial" w:cs="Arial"/>
        </w:rPr>
      </w:pPr>
      <w:r w:rsidRPr="008261A9">
        <w:rPr>
          <w:rFonts w:ascii="Arial" w:hAnsi="Arial" w:cs="Arial"/>
        </w:rPr>
        <w:t xml:space="preserve">Un análisis integral de los artículos 35, fracción I, 41, fracción I, párrafo segundo, y 116, fracción II, párrafo tercero, de la Constitución Federal, muestra que el derecho fundamental a votar en una elección de diputaciones locales por el principio de representación proporcional protege únicamente la emisión del sufragio a favor de un partido político (o coalición de partidos), pero no la elección de una persona o fórmula de personas en específico. Mientras que el propósito esencial de la representación proporcional es favorecer la pluralidad del órgano deliberativo, considerar que el derecho fundamental a votar bajo este principio electivo protege a su vez la selección de una persona en particular comprometería la realización de diversos fines constitucionales a los que los partidos políticos están obligados a contribuir como entidades de interés público, entre ellos la paridad de género en la integración de los órganos legislativos locales. En esta tesitura, las acciones que para la asignación de diputaciones de representación proporcional reajusten las listas definitivas de los partidos políticos con derecho a escaños y, por consiguiente, otorguen curules a los candidatos de un género </w:t>
      </w:r>
      <w:proofErr w:type="spellStart"/>
      <w:proofErr w:type="gramStart"/>
      <w:r w:rsidRPr="008261A9">
        <w:rPr>
          <w:rFonts w:ascii="Arial" w:hAnsi="Arial" w:cs="Arial"/>
        </w:rPr>
        <w:t>sub-representado</w:t>
      </w:r>
      <w:proofErr w:type="spellEnd"/>
      <w:proofErr w:type="gramEnd"/>
      <w:r w:rsidRPr="008261A9">
        <w:rPr>
          <w:rFonts w:ascii="Arial" w:hAnsi="Arial" w:cs="Arial"/>
        </w:rPr>
        <w:t xml:space="preserve"> en el partido favorecido, no vulneran el derecho fundamental de los ciudadanos al sufragio activo. Ciertamente, la implementación concreta de esas medidas correctivas no está exenta de ser considerada violatoria de otros preceptos constitucionales, ni de tener que ceder cuando se oponga a algún otro derecho fundamental o principio rector en materia electoral. Sin embargo, en tanto que no hay colisión posible con el derecho al voto activo, tal reajuste no será inconstitucional por vulnerar la fracción I del artículo 35 de la Constitución Federal. Así, el derecho fundamental a votar por legisladores locales de representación proporcional no puede ser, por sí mismo, un argumento válido para que las entidades federativas dejen de implementar acciones tendientes a la paridad de género en la asignación de escaños por </w:t>
      </w:r>
      <w:r w:rsidRPr="008261A9">
        <w:rPr>
          <w:rFonts w:ascii="Arial" w:hAnsi="Arial" w:cs="Arial"/>
        </w:rPr>
        <w:lastRenderedPageBreak/>
        <w:t>dicho principio electivo ni, por tanto, para dejar de favorecer a través de esas medidas correctivas la integración paritaria de los Congresos Locales.</w:t>
      </w:r>
    </w:p>
    <w:p w:rsidR="008261A9" w:rsidRPr="008261A9" w:rsidRDefault="008261A9" w:rsidP="008261A9">
      <w:pPr>
        <w:jc w:val="both"/>
        <w:rPr>
          <w:rFonts w:ascii="Arial" w:hAnsi="Arial" w:cs="Arial"/>
        </w:rPr>
      </w:pPr>
    </w:p>
    <w:p w:rsidR="008261A9" w:rsidRPr="008261A9" w:rsidRDefault="008261A9" w:rsidP="008261A9">
      <w:pPr>
        <w:jc w:val="both"/>
        <w:rPr>
          <w:rFonts w:ascii="Arial" w:hAnsi="Arial" w:cs="Arial"/>
          <w:b/>
        </w:rPr>
      </w:pPr>
      <w:r w:rsidRPr="008261A9">
        <w:rPr>
          <w:rFonts w:ascii="Arial" w:hAnsi="Arial" w:cs="Arial"/>
          <w:b/>
        </w:rPr>
        <w:t xml:space="preserve">Contradicción de tesis 275/2015. Entre las sustentadas por el Pleno de la Suprema Corte de Justicia de la Nación y la Sala Superior del Tribunal Electoral del Poder Judicial de la Federación. 4 de junio de 2019. Mayoría de ocho votos de los </w:t>
      </w:r>
      <w:proofErr w:type="gramStart"/>
      <w:r w:rsidRPr="008261A9">
        <w:rPr>
          <w:rFonts w:ascii="Arial" w:hAnsi="Arial" w:cs="Arial"/>
          <w:b/>
        </w:rPr>
        <w:t>Ministros</w:t>
      </w:r>
      <w:proofErr w:type="gramEnd"/>
      <w:r w:rsidRPr="008261A9">
        <w:rPr>
          <w:rFonts w:ascii="Arial" w:hAnsi="Arial" w:cs="Arial"/>
          <w:b/>
        </w:rPr>
        <w:t xml:space="preserve"> Alfredo Gutiérrez Ortiz Mena, Juan Luis González Alcántara Carrancá, Yasmín Esquivel </w:t>
      </w:r>
      <w:proofErr w:type="spellStart"/>
      <w:r w:rsidRPr="008261A9">
        <w:rPr>
          <w:rFonts w:ascii="Arial" w:hAnsi="Arial" w:cs="Arial"/>
          <w:b/>
        </w:rPr>
        <w:t>Mossa</w:t>
      </w:r>
      <w:proofErr w:type="spellEnd"/>
      <w:r w:rsidRPr="008261A9">
        <w:rPr>
          <w:rFonts w:ascii="Arial" w:hAnsi="Arial" w:cs="Arial"/>
          <w:b/>
        </w:rPr>
        <w:t xml:space="preserve">, Luis María Aguilar Morales, Jorge Mario Pardo Rebolledo, Norma Lucía Piña Hernández, Javier Laynez Potisek y Arturo Zaldívar Lelo de Larrea. Votó en contra: Eduardo Medina Mora I. Ausentes: José Fernando Franco González Salas y Alberto Pérez Dayán. Ponente: Javier Laynez Potisek. Secretario: Alfredo Narváez </w:t>
      </w:r>
      <w:proofErr w:type="spellStart"/>
      <w:r w:rsidRPr="008261A9">
        <w:rPr>
          <w:rFonts w:ascii="Arial" w:hAnsi="Arial" w:cs="Arial"/>
          <w:b/>
        </w:rPr>
        <w:t>Medécigo</w:t>
      </w:r>
      <w:proofErr w:type="spellEnd"/>
      <w:r w:rsidRPr="008261A9">
        <w:rPr>
          <w:rFonts w:ascii="Arial" w:hAnsi="Arial" w:cs="Arial"/>
          <w:b/>
        </w:rPr>
        <w:t>.</w:t>
      </w:r>
    </w:p>
    <w:p w:rsidR="008261A9" w:rsidRPr="008261A9" w:rsidRDefault="008261A9" w:rsidP="008261A9">
      <w:pPr>
        <w:jc w:val="both"/>
        <w:rPr>
          <w:rFonts w:ascii="Arial" w:hAnsi="Arial" w:cs="Arial"/>
        </w:rPr>
      </w:pPr>
    </w:p>
    <w:p w:rsidR="008261A9" w:rsidRPr="008261A9" w:rsidRDefault="008261A9" w:rsidP="008261A9">
      <w:pPr>
        <w:jc w:val="both"/>
        <w:rPr>
          <w:rFonts w:ascii="Arial" w:hAnsi="Arial" w:cs="Arial"/>
        </w:rPr>
      </w:pPr>
      <w:r w:rsidRPr="008261A9">
        <w:rPr>
          <w:rFonts w:ascii="Arial" w:hAnsi="Arial" w:cs="Arial"/>
        </w:rPr>
        <w:t>Criterios contendientes:</w:t>
      </w:r>
    </w:p>
    <w:p w:rsidR="008261A9" w:rsidRPr="008261A9" w:rsidRDefault="008261A9" w:rsidP="008261A9">
      <w:pPr>
        <w:jc w:val="both"/>
        <w:rPr>
          <w:rFonts w:ascii="Arial" w:hAnsi="Arial" w:cs="Arial"/>
        </w:rPr>
      </w:pPr>
      <w:r w:rsidRPr="008261A9">
        <w:rPr>
          <w:rFonts w:ascii="Arial" w:hAnsi="Arial" w:cs="Arial"/>
        </w:rPr>
        <w:t>El sustentado por la Sala Superior del Tribunal Electoral del Poder Judicial de la Federación, al resolver el juicio para la protección de los derechos político-electorales del ciudadano SUP-JDC-1236/2015 y sus acumulados SUP-JDC-1244/2015, SUP-JDC-1245/2015, SUP-JRC-666/2015, SUP-JRC-667/2015, SUP-JRC-668/2015 y SUP-JRC-669/2015, y el diverso sustentado por el Pleno de la Suprema Corte de Justicia de la Nación, al resolver la acción de inconstitucionalidad 45/2014 y sus acumuladas 46/2014, 66/2014, 67/2014, 68/2014, 69/2014 y 75/2014.</w:t>
      </w:r>
    </w:p>
    <w:p w:rsidR="008261A9" w:rsidRPr="008261A9" w:rsidRDefault="008261A9" w:rsidP="008261A9">
      <w:pPr>
        <w:jc w:val="both"/>
        <w:rPr>
          <w:rFonts w:ascii="Arial" w:hAnsi="Arial" w:cs="Arial"/>
        </w:rPr>
      </w:pPr>
      <w:r w:rsidRPr="008261A9">
        <w:rPr>
          <w:rFonts w:ascii="Arial" w:hAnsi="Arial" w:cs="Arial"/>
        </w:rPr>
        <w:t xml:space="preserve">El Tribunal Pleno, el veinticuatro de septiembre en curso, aprobó, con el número 12/2019 (10a.), la tesis jurisprudencial que antecede. Ciudad de México, a veinticuatro de septiembre de dos mil diecinueve. </w:t>
      </w:r>
    </w:p>
    <w:p w:rsidR="008261A9" w:rsidRPr="008261A9" w:rsidRDefault="008261A9" w:rsidP="008261A9">
      <w:pPr>
        <w:jc w:val="both"/>
        <w:rPr>
          <w:rFonts w:ascii="Arial" w:hAnsi="Arial" w:cs="Arial"/>
        </w:rPr>
      </w:pPr>
      <w:r w:rsidRPr="008261A9">
        <w:rPr>
          <w:rFonts w:ascii="Arial" w:hAnsi="Arial" w:cs="Arial"/>
        </w:rPr>
        <w:t>Nota: La ejecutoria relativa a la acción de inconstitucionalidad 45/2014 y sus acumuladas 46/2014, 66/2014, 67/2014, 68/2014, 69/2014 y 75/2014, aparece publicada en el Semanario Judicial de la Federación del viernes 27 de marzo de 2015 a las 9:30 horas y en la Gaceta del Semanario Judicial de la Federación, Décima Época, Libro 16, Tomo I, marzo de 2015, página 675.</w:t>
      </w:r>
    </w:p>
    <w:p w:rsidR="008261A9" w:rsidRDefault="008261A9" w:rsidP="008261A9">
      <w:pPr>
        <w:jc w:val="both"/>
        <w:rPr>
          <w:rFonts w:ascii="Arial" w:hAnsi="Arial" w:cs="Arial"/>
        </w:rPr>
      </w:pPr>
      <w:r w:rsidRPr="008261A9">
        <w:rPr>
          <w:rFonts w:ascii="Arial" w:hAnsi="Arial" w:cs="Arial"/>
        </w:rPr>
        <w:t>Esta tesis se publicó el viernes 04 de octubre de 2019 a las 10:14 horas en el Semanario Judicial de la Federación y, por ende, se considera de aplicación obligatoria a partir del lunes 07 de octubre de 2019, para los efectos previstos en el punto séptimo del Acuerdo General Plenario 19/2013.</w:t>
      </w:r>
    </w:p>
    <w:p w:rsidR="008261A9" w:rsidRDefault="008261A9">
      <w:pPr>
        <w:rPr>
          <w:rFonts w:ascii="Arial" w:hAnsi="Arial" w:cs="Arial"/>
        </w:rPr>
      </w:pPr>
      <w:r>
        <w:rPr>
          <w:rFonts w:ascii="Arial" w:hAnsi="Arial" w:cs="Arial"/>
        </w:rPr>
        <w:br w:type="page"/>
      </w:r>
    </w:p>
    <w:p w:rsidR="008261A9" w:rsidRPr="008261A9" w:rsidRDefault="008261A9" w:rsidP="008261A9">
      <w:pPr>
        <w:jc w:val="both"/>
        <w:rPr>
          <w:rFonts w:ascii="Arial" w:hAnsi="Arial" w:cs="Arial"/>
          <w:b/>
        </w:rPr>
      </w:pPr>
      <w:bookmarkStart w:id="0" w:name="_GoBack"/>
      <w:r w:rsidRPr="008261A9">
        <w:rPr>
          <w:rFonts w:ascii="Arial" w:hAnsi="Arial" w:cs="Arial"/>
          <w:b/>
        </w:rPr>
        <w:lastRenderedPageBreak/>
        <w:t xml:space="preserve">Época: Décima Época </w:t>
      </w:r>
    </w:p>
    <w:p w:rsidR="008261A9" w:rsidRPr="008261A9" w:rsidRDefault="008261A9" w:rsidP="008261A9">
      <w:pPr>
        <w:jc w:val="both"/>
        <w:rPr>
          <w:rFonts w:ascii="Arial" w:hAnsi="Arial" w:cs="Arial"/>
          <w:b/>
        </w:rPr>
      </w:pPr>
      <w:r w:rsidRPr="008261A9">
        <w:rPr>
          <w:rFonts w:ascii="Arial" w:hAnsi="Arial" w:cs="Arial"/>
          <w:b/>
        </w:rPr>
        <w:t xml:space="preserve">Registro: 2020760 </w:t>
      </w:r>
    </w:p>
    <w:p w:rsidR="008261A9" w:rsidRPr="008261A9" w:rsidRDefault="008261A9" w:rsidP="008261A9">
      <w:pPr>
        <w:jc w:val="both"/>
        <w:rPr>
          <w:rFonts w:ascii="Arial" w:hAnsi="Arial" w:cs="Arial"/>
          <w:b/>
        </w:rPr>
      </w:pPr>
      <w:r w:rsidRPr="008261A9">
        <w:rPr>
          <w:rFonts w:ascii="Arial" w:hAnsi="Arial" w:cs="Arial"/>
          <w:b/>
        </w:rPr>
        <w:t xml:space="preserve">Instancia: Pleno </w:t>
      </w:r>
    </w:p>
    <w:p w:rsidR="008261A9" w:rsidRPr="008261A9" w:rsidRDefault="008261A9" w:rsidP="008261A9">
      <w:pPr>
        <w:jc w:val="both"/>
        <w:rPr>
          <w:rFonts w:ascii="Arial" w:hAnsi="Arial" w:cs="Arial"/>
          <w:b/>
        </w:rPr>
      </w:pPr>
      <w:r w:rsidRPr="008261A9">
        <w:rPr>
          <w:rFonts w:ascii="Arial" w:hAnsi="Arial" w:cs="Arial"/>
          <w:b/>
        </w:rPr>
        <w:t xml:space="preserve">Tipo de Tesis: Jurisprudencia </w:t>
      </w:r>
    </w:p>
    <w:p w:rsidR="008261A9" w:rsidRPr="008261A9" w:rsidRDefault="008261A9" w:rsidP="008261A9">
      <w:pPr>
        <w:jc w:val="both"/>
        <w:rPr>
          <w:rFonts w:ascii="Arial" w:hAnsi="Arial" w:cs="Arial"/>
          <w:b/>
        </w:rPr>
      </w:pPr>
      <w:r w:rsidRPr="008261A9">
        <w:rPr>
          <w:rFonts w:ascii="Arial" w:hAnsi="Arial" w:cs="Arial"/>
          <w:b/>
        </w:rPr>
        <w:t xml:space="preserve">Fuente: Gaceta del Semanario Judicial de la Federación </w:t>
      </w:r>
    </w:p>
    <w:p w:rsidR="008261A9" w:rsidRPr="008261A9" w:rsidRDefault="008261A9" w:rsidP="008261A9">
      <w:pPr>
        <w:jc w:val="both"/>
        <w:rPr>
          <w:rFonts w:ascii="Arial" w:hAnsi="Arial" w:cs="Arial"/>
          <w:b/>
        </w:rPr>
      </w:pPr>
      <w:r w:rsidRPr="008261A9">
        <w:rPr>
          <w:rFonts w:ascii="Arial" w:hAnsi="Arial" w:cs="Arial"/>
          <w:b/>
        </w:rPr>
        <w:t xml:space="preserve">Libro 71, </w:t>
      </w:r>
      <w:proofErr w:type="gramStart"/>
      <w:r w:rsidRPr="008261A9">
        <w:rPr>
          <w:rFonts w:ascii="Arial" w:hAnsi="Arial" w:cs="Arial"/>
          <w:b/>
        </w:rPr>
        <w:t>Octubre</w:t>
      </w:r>
      <w:proofErr w:type="gramEnd"/>
      <w:r w:rsidRPr="008261A9">
        <w:rPr>
          <w:rFonts w:ascii="Arial" w:hAnsi="Arial" w:cs="Arial"/>
          <w:b/>
        </w:rPr>
        <w:t xml:space="preserve"> de 2019, Tomo I </w:t>
      </w:r>
    </w:p>
    <w:p w:rsidR="008261A9" w:rsidRPr="008261A9" w:rsidRDefault="008261A9" w:rsidP="008261A9">
      <w:pPr>
        <w:jc w:val="both"/>
        <w:rPr>
          <w:rFonts w:ascii="Arial" w:hAnsi="Arial" w:cs="Arial"/>
          <w:b/>
        </w:rPr>
      </w:pPr>
      <w:r w:rsidRPr="008261A9">
        <w:rPr>
          <w:rFonts w:ascii="Arial" w:hAnsi="Arial" w:cs="Arial"/>
          <w:b/>
        </w:rPr>
        <w:t xml:space="preserve">Materia(s): Constitucional </w:t>
      </w:r>
    </w:p>
    <w:p w:rsidR="008261A9" w:rsidRPr="008261A9" w:rsidRDefault="008261A9" w:rsidP="008261A9">
      <w:pPr>
        <w:jc w:val="both"/>
        <w:rPr>
          <w:rFonts w:ascii="Arial" w:hAnsi="Arial" w:cs="Arial"/>
          <w:b/>
        </w:rPr>
      </w:pPr>
      <w:r w:rsidRPr="008261A9">
        <w:rPr>
          <w:rFonts w:ascii="Arial" w:hAnsi="Arial" w:cs="Arial"/>
          <w:b/>
        </w:rPr>
        <w:t xml:space="preserve">Tesis: P./J. 13/2019 (10a.) </w:t>
      </w:r>
    </w:p>
    <w:p w:rsidR="008261A9" w:rsidRPr="008261A9" w:rsidRDefault="008261A9" w:rsidP="008261A9">
      <w:pPr>
        <w:jc w:val="both"/>
        <w:rPr>
          <w:rFonts w:ascii="Arial" w:hAnsi="Arial" w:cs="Arial"/>
          <w:b/>
        </w:rPr>
      </w:pPr>
      <w:r w:rsidRPr="008261A9">
        <w:rPr>
          <w:rFonts w:ascii="Arial" w:hAnsi="Arial" w:cs="Arial"/>
          <w:b/>
        </w:rPr>
        <w:t xml:space="preserve">Página: 8 </w:t>
      </w:r>
    </w:p>
    <w:p w:rsidR="008261A9" w:rsidRPr="008261A9" w:rsidRDefault="008261A9" w:rsidP="008261A9">
      <w:pPr>
        <w:jc w:val="both"/>
        <w:rPr>
          <w:rFonts w:ascii="Arial" w:hAnsi="Arial" w:cs="Arial"/>
          <w:b/>
        </w:rPr>
      </w:pPr>
    </w:p>
    <w:p w:rsidR="008261A9" w:rsidRPr="008261A9" w:rsidRDefault="008261A9" w:rsidP="008261A9">
      <w:pPr>
        <w:jc w:val="both"/>
        <w:rPr>
          <w:rFonts w:ascii="Arial" w:hAnsi="Arial" w:cs="Arial"/>
          <w:b/>
        </w:rPr>
      </w:pPr>
      <w:r w:rsidRPr="008261A9">
        <w:rPr>
          <w:rFonts w:ascii="Arial" w:hAnsi="Arial" w:cs="Arial"/>
          <w:b/>
        </w:rPr>
        <w:t>REPRESENTACIÓN PROPORCIONAL. LAS ACCIONES TENDIENTES A LA PARIDAD DE GÉNERO EN LA ASIGNACIÓN DE CURULES POR ESE PRINCIPIO, NO VULNERAN EL DERECHO FUNDAMENTAL A SER VOTADO EN PERJUICIO DE LOS CANDIDATOS PERDEDORES DE MAYORÍA RELATIVA.</w:t>
      </w:r>
    </w:p>
    <w:p w:rsidR="008261A9" w:rsidRPr="008261A9" w:rsidRDefault="008261A9" w:rsidP="008261A9">
      <w:pPr>
        <w:jc w:val="both"/>
        <w:rPr>
          <w:rFonts w:ascii="Arial" w:hAnsi="Arial" w:cs="Arial"/>
          <w:b/>
        </w:rPr>
      </w:pPr>
    </w:p>
    <w:bookmarkEnd w:id="0"/>
    <w:p w:rsidR="008261A9" w:rsidRPr="008261A9" w:rsidRDefault="008261A9" w:rsidP="008261A9">
      <w:pPr>
        <w:jc w:val="both"/>
        <w:rPr>
          <w:rFonts w:ascii="Arial" w:hAnsi="Arial" w:cs="Arial"/>
        </w:rPr>
      </w:pPr>
      <w:r w:rsidRPr="008261A9">
        <w:rPr>
          <w:rFonts w:ascii="Arial" w:hAnsi="Arial" w:cs="Arial"/>
        </w:rPr>
        <w:t xml:space="preserve">Un análisis integral de los artículos 35, fracción II, 41, fracción I, párrafo segundo, y 116, fracción II, párrafo tercero, de la Constitución Federal, muestra que el derecho fundamental a ser votado en una elección de diputaciones locales por el principio de mayoría relativa se agota en la determinación del ganador por dicho principio electivo y, por consiguiente, no tiene el alcance normativo de proteger un lugar específico en las listas de candidatos de representación proporcional. Mientras que el propósito esencial de la representación proporcional es favorecer la pluralidad del órgano deliberativo, considerar que el derecho fundamental a ser votado bajo este principio electivo a su vez protege el acceso al poder público de ciertos individuos en particular, comprometería la realización de diversos fines constitucionales a los que los partidos políticos están obligados a contribuir como entidades de interés público, entre ellos la paridad de género en la integración de los órganos legislativos locales. En esta tesitura, las acciones para la asignación de diputaciones de representación proporcional que reajusten las listas definitivas de los partidos políticos con derecho a escaños y, por consiguiente, otorguen curules a los candidatos de un género </w:t>
      </w:r>
      <w:proofErr w:type="spellStart"/>
      <w:proofErr w:type="gramStart"/>
      <w:r w:rsidRPr="008261A9">
        <w:rPr>
          <w:rFonts w:ascii="Arial" w:hAnsi="Arial" w:cs="Arial"/>
        </w:rPr>
        <w:t>sub-representado</w:t>
      </w:r>
      <w:proofErr w:type="spellEnd"/>
      <w:proofErr w:type="gramEnd"/>
      <w:r w:rsidRPr="008261A9">
        <w:rPr>
          <w:rFonts w:ascii="Arial" w:hAnsi="Arial" w:cs="Arial"/>
        </w:rPr>
        <w:t xml:space="preserve"> en el partido favorecido, no vulneran el derecho fundamental al sufragio pasivo de los candidatos perdedores de mayoría relativa. Ciertamente, la implementación concreta de esas medidas correctivas no está exenta de ser considerada violatoria de otros preceptos constitucionales, ni de tener que ceder cuando se oponga a algún otro derecho fundamental o principio rector en materia electoral. Sin embargo, en tanto que no hay colisión posible con el derecho al voto pasivo de los candidatos perdedores de mayoría relativa, un reajuste en este sentido no será inconstitucional por vulnerar la fracción II del artículo 35 de la Constitución Federal. Así, el derecho fundamental a ser votado de los candidatos de mayoría relativa que no resultaron ganadores por dicho principio </w:t>
      </w:r>
      <w:proofErr w:type="gramStart"/>
      <w:r w:rsidRPr="008261A9">
        <w:rPr>
          <w:rFonts w:ascii="Arial" w:hAnsi="Arial" w:cs="Arial"/>
        </w:rPr>
        <w:t>electivo,</w:t>
      </w:r>
      <w:proofErr w:type="gramEnd"/>
      <w:r w:rsidRPr="008261A9">
        <w:rPr>
          <w:rFonts w:ascii="Arial" w:hAnsi="Arial" w:cs="Arial"/>
        </w:rPr>
        <w:t xml:space="preserve"> no puede ser por sí mismo un argumento válido para que las entidades federativas dejen de implementar acciones tendientes a la paridad de género en la asignación de escaños por </w:t>
      </w:r>
      <w:r w:rsidRPr="008261A9">
        <w:rPr>
          <w:rFonts w:ascii="Arial" w:hAnsi="Arial" w:cs="Arial"/>
        </w:rPr>
        <w:lastRenderedPageBreak/>
        <w:t>el diverso principio de representación proporcional ni, por tanto, para dejar de favorecer a través de esas medidas correctivas la integración paritaria de los Congresos Locales.</w:t>
      </w:r>
    </w:p>
    <w:p w:rsidR="008261A9" w:rsidRPr="008261A9" w:rsidRDefault="008261A9" w:rsidP="008261A9">
      <w:pPr>
        <w:jc w:val="both"/>
        <w:rPr>
          <w:rFonts w:ascii="Arial" w:hAnsi="Arial" w:cs="Arial"/>
        </w:rPr>
      </w:pPr>
    </w:p>
    <w:p w:rsidR="008261A9" w:rsidRPr="008261A9" w:rsidRDefault="008261A9" w:rsidP="008261A9">
      <w:pPr>
        <w:jc w:val="both"/>
        <w:rPr>
          <w:rFonts w:ascii="Arial" w:hAnsi="Arial" w:cs="Arial"/>
          <w:b/>
        </w:rPr>
      </w:pPr>
      <w:r w:rsidRPr="008261A9">
        <w:rPr>
          <w:rFonts w:ascii="Arial" w:hAnsi="Arial" w:cs="Arial"/>
          <w:b/>
        </w:rPr>
        <w:t xml:space="preserve">Contradicción de tesis 275/2015. Entre las sustentadas por el Pleno de la Suprema Corte de Justicia de la Nación y la Sala Superior del Tribunal Electoral del Poder Judicial de la Federación. 4 de junio de 2019. Mayoría de ocho votos de los </w:t>
      </w:r>
      <w:proofErr w:type="gramStart"/>
      <w:r w:rsidRPr="008261A9">
        <w:rPr>
          <w:rFonts w:ascii="Arial" w:hAnsi="Arial" w:cs="Arial"/>
          <w:b/>
        </w:rPr>
        <w:t>Ministros</w:t>
      </w:r>
      <w:proofErr w:type="gramEnd"/>
      <w:r w:rsidRPr="008261A9">
        <w:rPr>
          <w:rFonts w:ascii="Arial" w:hAnsi="Arial" w:cs="Arial"/>
          <w:b/>
        </w:rPr>
        <w:t xml:space="preserve"> Alfredo Gutiérrez Ortiz Mena, Juan Luis González Alcántara Carrancá, Yasmín Esquivel </w:t>
      </w:r>
      <w:proofErr w:type="spellStart"/>
      <w:r w:rsidRPr="008261A9">
        <w:rPr>
          <w:rFonts w:ascii="Arial" w:hAnsi="Arial" w:cs="Arial"/>
          <w:b/>
        </w:rPr>
        <w:t>Mossa</w:t>
      </w:r>
      <w:proofErr w:type="spellEnd"/>
      <w:r w:rsidRPr="008261A9">
        <w:rPr>
          <w:rFonts w:ascii="Arial" w:hAnsi="Arial" w:cs="Arial"/>
          <w:b/>
        </w:rPr>
        <w:t xml:space="preserve">, Luis María Aguilar Morales, Jorge Mario Pardo Rebolledo, Norma Lucía Piña Hernández, Javier Laynez Potisek y Arturo Zaldívar Lelo de Larrea. Votó en contra: Eduardo Medina Mora I. Ausentes: José Fernando Franco González Salas y Alberto Pérez Dayán. Ponente: Javier Laynez Potisek. Secretario: Alfredo Narváez </w:t>
      </w:r>
      <w:proofErr w:type="spellStart"/>
      <w:r w:rsidRPr="008261A9">
        <w:rPr>
          <w:rFonts w:ascii="Arial" w:hAnsi="Arial" w:cs="Arial"/>
          <w:b/>
        </w:rPr>
        <w:t>Medécigo</w:t>
      </w:r>
      <w:proofErr w:type="spellEnd"/>
      <w:r w:rsidRPr="008261A9">
        <w:rPr>
          <w:rFonts w:ascii="Arial" w:hAnsi="Arial" w:cs="Arial"/>
          <w:b/>
        </w:rPr>
        <w:t>.</w:t>
      </w:r>
    </w:p>
    <w:p w:rsidR="008261A9" w:rsidRPr="008261A9" w:rsidRDefault="008261A9" w:rsidP="008261A9">
      <w:pPr>
        <w:jc w:val="both"/>
        <w:rPr>
          <w:rFonts w:ascii="Arial" w:hAnsi="Arial" w:cs="Arial"/>
        </w:rPr>
      </w:pPr>
    </w:p>
    <w:p w:rsidR="008261A9" w:rsidRPr="008261A9" w:rsidRDefault="008261A9" w:rsidP="008261A9">
      <w:pPr>
        <w:jc w:val="both"/>
        <w:rPr>
          <w:rFonts w:ascii="Arial" w:hAnsi="Arial" w:cs="Arial"/>
        </w:rPr>
      </w:pPr>
      <w:r w:rsidRPr="008261A9">
        <w:rPr>
          <w:rFonts w:ascii="Arial" w:hAnsi="Arial" w:cs="Arial"/>
        </w:rPr>
        <w:t>Criterios contendientes:</w:t>
      </w:r>
    </w:p>
    <w:p w:rsidR="008261A9" w:rsidRPr="008261A9" w:rsidRDefault="008261A9" w:rsidP="008261A9">
      <w:pPr>
        <w:jc w:val="both"/>
        <w:rPr>
          <w:rFonts w:ascii="Arial" w:hAnsi="Arial" w:cs="Arial"/>
        </w:rPr>
      </w:pPr>
      <w:r w:rsidRPr="008261A9">
        <w:rPr>
          <w:rFonts w:ascii="Arial" w:hAnsi="Arial" w:cs="Arial"/>
        </w:rPr>
        <w:t>El sustentado por la Sala Superior del Tribunal Electoral del Poder Judicial de la Federación, al resolver el juicio para la protección de los derechos político-electorales del ciudadano SUP-JDC-1236/2015 y sus acumulados SUP-JDC-1244/2015, SUP-JDC-1245/2015, SUP-JRC-666/2015, SUP-JRC-667/2015, SUP-JRC-668/2015 y SUP-JRC-669/2015, y el diverso sustentado por el Pleno de la Suprema Corte de Justicia de la Nación, al resolver la acción de inconstitucionalidad 45/2014 y sus acumuladas 46/2014, 66/2014, 67/2014, 68/2014, 69/2014 y 75/2014.</w:t>
      </w:r>
    </w:p>
    <w:p w:rsidR="008261A9" w:rsidRPr="008261A9" w:rsidRDefault="008261A9" w:rsidP="008261A9">
      <w:pPr>
        <w:jc w:val="both"/>
        <w:rPr>
          <w:rFonts w:ascii="Arial" w:hAnsi="Arial" w:cs="Arial"/>
        </w:rPr>
      </w:pPr>
      <w:r w:rsidRPr="008261A9">
        <w:rPr>
          <w:rFonts w:ascii="Arial" w:hAnsi="Arial" w:cs="Arial"/>
        </w:rPr>
        <w:t>El Tribunal Pleno, el veinticuatro de septiembre en curso, aprobó, con el número 13/2019 (10a.), la tesis jurisprudencial que antecede. Ciudad de México, a veinticuatro de septiembre de dos mil diecinueve.</w:t>
      </w:r>
    </w:p>
    <w:p w:rsidR="008261A9" w:rsidRPr="008261A9" w:rsidRDefault="008261A9" w:rsidP="008261A9">
      <w:pPr>
        <w:jc w:val="both"/>
        <w:rPr>
          <w:rFonts w:ascii="Arial" w:hAnsi="Arial" w:cs="Arial"/>
        </w:rPr>
      </w:pPr>
      <w:r w:rsidRPr="008261A9">
        <w:rPr>
          <w:rFonts w:ascii="Arial" w:hAnsi="Arial" w:cs="Arial"/>
        </w:rPr>
        <w:t>Nota: La ejecutoria relativa a la acción de inconstitucionalidad 45/2014 y sus acumuladas 46/2014, 66/2014, 67/2014, 68/2014, 69/2014 y 75/2014 aparece publicada en el Semanario Judicial de la Federación del viernes 27 de marzo de 2015 a las 9:30 horas y en la Gaceta del Semanario Judicial de la Federación, Décima Época, Libro 16, Tomo I, marzo de 2015, página 675.</w:t>
      </w:r>
    </w:p>
    <w:p w:rsidR="008261A9" w:rsidRPr="008261A9" w:rsidRDefault="008261A9" w:rsidP="008261A9">
      <w:pPr>
        <w:jc w:val="both"/>
        <w:rPr>
          <w:rFonts w:ascii="Arial" w:hAnsi="Arial" w:cs="Arial"/>
        </w:rPr>
      </w:pPr>
      <w:r w:rsidRPr="008261A9">
        <w:rPr>
          <w:rFonts w:ascii="Arial" w:hAnsi="Arial" w:cs="Arial"/>
        </w:rPr>
        <w:t>Esta tesis se publicó el viernes 04 de octubre de 2019 a las 10:14 horas en el Semanario Judicial de la Federación y, por ende, se considera de aplicación obligatoria a partir del lunes 07 de octubre de 2019, para los efectos previstos en el punto séptimo del Acuerdo General Plenario 19/2013.</w:t>
      </w:r>
    </w:p>
    <w:p w:rsidR="0047745A" w:rsidRPr="008261A9" w:rsidRDefault="008261A9" w:rsidP="008261A9">
      <w:pPr>
        <w:jc w:val="both"/>
        <w:rPr>
          <w:rFonts w:ascii="Arial" w:hAnsi="Arial" w:cs="Arial"/>
        </w:rPr>
      </w:pPr>
      <w:r w:rsidRPr="008261A9">
        <w:rPr>
          <w:rFonts w:ascii="Arial" w:hAnsi="Arial" w:cs="Arial"/>
        </w:rPr>
        <w:t xml:space="preserve"> </w:t>
      </w:r>
    </w:p>
    <w:sectPr w:rsidR="0047745A" w:rsidRPr="008261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A9"/>
    <w:rsid w:val="0047745A"/>
    <w:rsid w:val="00826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5702D-AFD6-46EB-9626-66181B35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2242</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Cabrera Moscoso</dc:creator>
  <cp:keywords/>
  <dc:description/>
  <cp:lastModifiedBy>Liliana Cabrera Moscoso</cp:lastModifiedBy>
  <cp:revision>1</cp:revision>
  <dcterms:created xsi:type="dcterms:W3CDTF">2020-03-10T17:04:00Z</dcterms:created>
  <dcterms:modified xsi:type="dcterms:W3CDTF">2020-03-10T17:07:00Z</dcterms:modified>
</cp:coreProperties>
</file>